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0C" w:rsidRDefault="0087650C">
      <w:pPr>
        <w:pStyle w:val="Zkladntext"/>
        <w:rPr>
          <w:rFonts w:ascii="Times New Roman"/>
          <w:sz w:val="20"/>
        </w:rPr>
      </w:pPr>
    </w:p>
    <w:p w:rsidR="0087650C" w:rsidRDefault="0087650C">
      <w:pPr>
        <w:pStyle w:val="Zkladntext"/>
        <w:rPr>
          <w:rFonts w:ascii="Times New Roman"/>
          <w:sz w:val="20"/>
        </w:rPr>
      </w:pPr>
    </w:p>
    <w:p w:rsidR="0087650C" w:rsidRDefault="0087650C">
      <w:pPr>
        <w:pStyle w:val="Zkladntext"/>
        <w:rPr>
          <w:rFonts w:ascii="Times New Roman"/>
          <w:sz w:val="20"/>
        </w:rPr>
      </w:pPr>
    </w:p>
    <w:p w:rsidR="0087650C" w:rsidRDefault="0087650C">
      <w:pPr>
        <w:pStyle w:val="Zkladntext"/>
        <w:spacing w:before="2"/>
        <w:rPr>
          <w:rFonts w:ascii="Times New Roman"/>
          <w:sz w:val="16"/>
        </w:rPr>
      </w:pPr>
    </w:p>
    <w:p w:rsidR="0087650C" w:rsidRDefault="0046719C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7"/>
        <w:rPr>
          <w:sz w:val="18"/>
        </w:rPr>
      </w:pPr>
    </w:p>
    <w:p w:rsidR="0087650C" w:rsidRDefault="0046719C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87650C" w:rsidRDefault="0046719C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Eliminace parovodu Východ (V3)</w:t>
      </w:r>
    </w:p>
    <w:p w:rsidR="0087650C" w:rsidRDefault="0046719C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87650C" w:rsidRDefault="0046719C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87650C" w:rsidRDefault="0087650C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28"/>
      </w:tblGrid>
      <w:tr w:rsidR="0087650C">
        <w:trPr>
          <w:trHeight w:hRule="exact" w:val="238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14169432</w:t>
            </w:r>
          </w:p>
        </w:tc>
        <w:tc>
          <w:tcPr>
            <w:tcW w:w="1972" w:type="dxa"/>
          </w:tcPr>
          <w:p w:rsidR="0087650C" w:rsidRDefault="0046719C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28" w:type="dxa"/>
          </w:tcPr>
          <w:p w:rsidR="0087650C" w:rsidRDefault="0046719C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87650C">
        <w:trPr>
          <w:trHeight w:hRule="exact" w:val="296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26202895</w:t>
            </w:r>
          </w:p>
        </w:tc>
        <w:tc>
          <w:tcPr>
            <w:tcW w:w="1972" w:type="dxa"/>
          </w:tcPr>
          <w:p w:rsidR="0087650C" w:rsidRDefault="0046719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28" w:type="dxa"/>
          </w:tcPr>
          <w:p w:rsidR="0087650C" w:rsidRDefault="0046719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Vojtíšková Michaela</w:t>
            </w:r>
          </w:p>
        </w:tc>
      </w:tr>
      <w:tr w:rsidR="0087650C">
        <w:trPr>
          <w:trHeight w:hRule="exact" w:val="296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CZ.1.02/2.1.00/13.20396</w:t>
            </w:r>
          </w:p>
        </w:tc>
        <w:tc>
          <w:tcPr>
            <w:tcW w:w="1972" w:type="dxa"/>
          </w:tcPr>
          <w:p w:rsidR="0087650C" w:rsidRDefault="0046719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28" w:type="dxa"/>
          </w:tcPr>
          <w:p w:rsidR="0087650C" w:rsidRDefault="0046719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87650C">
        <w:trPr>
          <w:trHeight w:hRule="exact" w:val="296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115D212001836</w:t>
            </w:r>
          </w:p>
        </w:tc>
        <w:tc>
          <w:tcPr>
            <w:tcW w:w="1972" w:type="dxa"/>
          </w:tcPr>
          <w:p w:rsidR="0087650C" w:rsidRDefault="0046719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28" w:type="dxa"/>
          </w:tcPr>
          <w:p w:rsidR="0087650C" w:rsidRDefault="0046719C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Veltrubská Blanka</w:t>
            </w:r>
          </w:p>
        </w:tc>
      </w:tr>
      <w:tr w:rsidR="0087650C">
        <w:trPr>
          <w:trHeight w:hRule="exact" w:val="296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01.03.2018</w:t>
            </w:r>
          </w:p>
        </w:tc>
        <w:tc>
          <w:tcPr>
            <w:tcW w:w="1972" w:type="dxa"/>
          </w:tcPr>
          <w:p w:rsidR="0087650C" w:rsidRDefault="0087650C"/>
        </w:tc>
        <w:tc>
          <w:tcPr>
            <w:tcW w:w="2028" w:type="dxa"/>
          </w:tcPr>
          <w:p w:rsidR="0087650C" w:rsidRDefault="0087650C"/>
        </w:tc>
      </w:tr>
      <w:tr w:rsidR="0087650C">
        <w:trPr>
          <w:trHeight w:hRule="exact" w:val="238"/>
        </w:trPr>
        <w:tc>
          <w:tcPr>
            <w:tcW w:w="1878" w:type="dxa"/>
          </w:tcPr>
          <w:p w:rsidR="0087650C" w:rsidRDefault="0046719C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87650C" w:rsidRDefault="0046719C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136766/2013</w:t>
            </w:r>
          </w:p>
        </w:tc>
        <w:tc>
          <w:tcPr>
            <w:tcW w:w="1972" w:type="dxa"/>
          </w:tcPr>
          <w:p w:rsidR="0087650C" w:rsidRDefault="0087650C"/>
        </w:tc>
        <w:tc>
          <w:tcPr>
            <w:tcW w:w="2028" w:type="dxa"/>
          </w:tcPr>
          <w:p w:rsidR="0087650C" w:rsidRDefault="0087650C"/>
        </w:tc>
      </w:tr>
    </w:tbl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spacing w:before="1"/>
        <w:rPr>
          <w:b/>
          <w:sz w:val="28"/>
        </w:rPr>
      </w:pPr>
    </w:p>
    <w:p w:rsidR="0087650C" w:rsidRDefault="0046719C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1.1.2016 - 31.12.2016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31.12.2016 - 31.12.2017</w:t>
            </w:r>
          </w:p>
        </w:tc>
      </w:tr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87650C" w:rsidRDefault="0046719C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87650C" w:rsidRDefault="0046719C" w:rsidP="0046719C">
            <w:pPr>
              <w:pStyle w:val="TableParagraph"/>
              <w:rPr>
                <w:sz w:val="18"/>
              </w:rPr>
            </w:pPr>
            <w:r>
              <w:t>xxxxxxxxx</w:t>
            </w:r>
          </w:p>
        </w:tc>
      </w:tr>
    </w:tbl>
    <w:p w:rsidR="0087650C" w:rsidRDefault="0087650C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30.9.2015</w:t>
            </w:r>
          </w:p>
        </w:tc>
      </w:tr>
    </w:tbl>
    <w:p w:rsidR="0087650C" w:rsidRDefault="0087650C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20 218 100,00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8 087 240,00</w:t>
            </w:r>
          </w:p>
        </w:tc>
      </w:tr>
    </w:tbl>
    <w:p w:rsidR="0087650C" w:rsidRDefault="0087650C">
      <w:pPr>
        <w:jc w:val="right"/>
        <w:rPr>
          <w:sz w:val="18"/>
        </w:rPr>
        <w:sectPr w:rsidR="0087650C">
          <w:headerReference w:type="default" r:id="rId7"/>
          <w:footerReference w:type="default" r:id="rId8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</w:t>
            </w:r>
            <w:r>
              <w:rPr>
                <w:sz w:val="18"/>
              </w:rPr>
              <w:t>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30.9.2020</w:t>
            </w:r>
          </w:p>
        </w:tc>
      </w:tr>
    </w:tbl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rPr>
          <w:b/>
          <w:sz w:val="20"/>
        </w:rPr>
      </w:pPr>
    </w:p>
    <w:p w:rsidR="0087650C" w:rsidRDefault="0087650C">
      <w:pPr>
        <w:pStyle w:val="Zkladntext"/>
        <w:spacing w:before="8"/>
        <w:rPr>
          <w:b/>
          <w:sz w:val="27"/>
        </w:rPr>
      </w:pPr>
    </w:p>
    <w:p w:rsidR="0087650C" w:rsidRDefault="0046719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4"/>
        <w:rPr>
          <w:b/>
          <w:sz w:val="20"/>
        </w:rPr>
      </w:pPr>
    </w:p>
    <w:p w:rsidR="0087650C" w:rsidRDefault="0046719C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</w:t>
            </w:r>
            <w:r>
              <w:rPr>
                <w:sz w:val="18"/>
              </w:rPr>
              <w:t>ozování je v souladu s podmínkami uvedenými v Implementačním dokumentu: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87650C">
        <w:trPr>
          <w:trHeight w:hRule="exact" w:val="1240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87650C" w:rsidRDefault="0087650C">
      <w:pPr>
        <w:pStyle w:val="Zkladntext"/>
        <w:spacing w:before="7"/>
      </w:pPr>
    </w:p>
    <w:p w:rsidR="0087650C" w:rsidRDefault="0046719C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120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pojištěn částečně v rámci celkového pojištění majetku Teplárny Strakonice, a.s.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87650C" w:rsidRDefault="0087650C">
      <w:pPr>
        <w:pStyle w:val="Zkladntext"/>
        <w:spacing w:before="2"/>
        <w:rPr>
          <w:sz w:val="12"/>
        </w:rPr>
      </w:pPr>
    </w:p>
    <w:p w:rsidR="0087650C" w:rsidRDefault="0046719C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Bez komentáře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87650C" w:rsidRDefault="0087650C">
      <w:pPr>
        <w:pStyle w:val="Zkladntext"/>
        <w:spacing w:before="2"/>
        <w:rPr>
          <w:sz w:val="12"/>
        </w:rPr>
      </w:pPr>
    </w:p>
    <w:p w:rsidR="0087650C" w:rsidRDefault="0046719C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87650C" w:rsidRDefault="0087650C">
      <w:pPr>
        <w:rPr>
          <w:sz w:val="18"/>
        </w:rPr>
        <w:sectPr w:rsidR="0087650C">
          <w:pgSz w:w="11900" w:h="16840"/>
          <w:pgMar w:top="1960" w:right="1280" w:bottom="1400" w:left="1280" w:header="827" w:footer="1212" w:gutter="0"/>
          <w:cols w:space="708"/>
        </w:sect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8"/>
        <w:rPr>
          <w:sz w:val="20"/>
        </w:rPr>
      </w:pPr>
    </w:p>
    <w:p w:rsidR="0087650C" w:rsidRDefault="0046719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87650C" w:rsidRDefault="0046719C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1"/>
        <w:rPr>
          <w:sz w:val="28"/>
        </w:rPr>
      </w:pPr>
    </w:p>
    <w:p w:rsidR="0087650C" w:rsidRDefault="0046719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4"/>
        <w:rPr>
          <w:b/>
          <w:sz w:val="20"/>
        </w:rPr>
      </w:pPr>
    </w:p>
    <w:p w:rsidR="0087650C" w:rsidRDefault="0046719C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87650C" w:rsidRDefault="0087650C">
      <w:pPr>
        <w:pStyle w:val="Zkladntext"/>
        <w:spacing w:before="7"/>
      </w:pPr>
    </w:p>
    <w:p w:rsidR="0087650C" w:rsidRDefault="0046719C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87650C" w:rsidRDefault="0087650C">
      <w:pPr>
        <w:pStyle w:val="Zkladntext"/>
        <w:spacing w:before="7"/>
      </w:pPr>
    </w:p>
    <w:p w:rsidR="0087650C" w:rsidRDefault="0046719C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87650C" w:rsidRDefault="0046719C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od doby vybudování do současnosti provozován v nezměněné podobě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8"/>
        <w:rPr>
          <w:sz w:val="25"/>
        </w:rPr>
      </w:pPr>
    </w:p>
    <w:p w:rsidR="0087650C" w:rsidRDefault="0046719C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4"/>
        <w:rPr>
          <w:b/>
          <w:sz w:val="20"/>
        </w:rPr>
      </w:pPr>
    </w:p>
    <w:p w:rsidR="0087650C" w:rsidRDefault="0046719C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87650C" w:rsidRDefault="0087650C">
      <w:pPr>
        <w:pStyle w:val="Zkladntext"/>
        <w:spacing w:before="7"/>
      </w:pPr>
    </w:p>
    <w:p w:rsidR="0087650C" w:rsidRDefault="0046719C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1"/>
        <w:rPr>
          <w:sz w:val="28"/>
        </w:rPr>
      </w:pPr>
    </w:p>
    <w:p w:rsidR="0087650C" w:rsidRDefault="0046719C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4"/>
        <w:rPr>
          <w:b/>
          <w:sz w:val="20"/>
        </w:rPr>
      </w:pPr>
    </w:p>
    <w:p w:rsidR="0087650C" w:rsidRDefault="0046719C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87650C" w:rsidRDefault="0087650C">
      <w:pPr>
        <w:rPr>
          <w:sz w:val="18"/>
        </w:rPr>
        <w:sectPr w:rsidR="0087650C">
          <w:pgSz w:w="11900" w:h="16840"/>
          <w:pgMar w:top="1960" w:right="1280" w:bottom="1400" w:left="1280" w:header="827" w:footer="1212" w:gutter="0"/>
          <w:cols w:space="708"/>
        </w:sect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8"/>
        <w:rPr>
          <w:sz w:val="20"/>
        </w:rPr>
      </w:pPr>
    </w:p>
    <w:p w:rsidR="0087650C" w:rsidRDefault="0046719C">
      <w:pPr>
        <w:spacing w:before="73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808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rPr>
          <w:sz w:val="20"/>
        </w:rPr>
      </w:pPr>
    </w:p>
    <w:p w:rsidR="0087650C" w:rsidRDefault="0087650C">
      <w:pPr>
        <w:pStyle w:val="Zkladntext"/>
        <w:spacing w:before="1"/>
        <w:rPr>
          <w:sz w:val="28"/>
        </w:rPr>
      </w:pPr>
    </w:p>
    <w:p w:rsidR="0087650C" w:rsidRDefault="0046719C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87650C" w:rsidRDefault="0046719C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87650C" w:rsidRDefault="0087650C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z w:val="18"/>
              </w:rPr>
              <w:t>3.2018</w:t>
            </w:r>
          </w:p>
        </w:tc>
      </w:tr>
      <w:tr w:rsidR="0087650C">
        <w:trPr>
          <w:trHeight w:hRule="exact" w:val="376"/>
        </w:trPr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</w:t>
            </w:r>
          </w:p>
        </w:tc>
      </w:tr>
      <w:tr w:rsidR="0087650C">
        <w:trPr>
          <w:trHeight w:hRule="exact" w:val="592"/>
        </w:trPr>
        <w:tc>
          <w:tcPr>
            <w:tcW w:w="4550" w:type="dxa"/>
          </w:tcPr>
          <w:p w:rsidR="0087650C" w:rsidRDefault="0046719C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xxxxxxxxxxxxxxxxxxxxxxx</w:t>
            </w:r>
            <w:bookmarkStart w:id="0" w:name="_GoBack"/>
            <w:bookmarkEnd w:id="0"/>
            <w:r>
              <w:rPr>
                <w:sz w:val="18"/>
              </w:rPr>
              <w:t>, předseda představenstva</w:t>
            </w:r>
          </w:p>
        </w:tc>
      </w:tr>
      <w:tr w:rsidR="0087650C">
        <w:trPr>
          <w:trHeight w:hRule="exact" w:val="376"/>
        </w:trPr>
        <w:tc>
          <w:tcPr>
            <w:tcW w:w="9100" w:type="dxa"/>
            <w:gridSpan w:val="2"/>
          </w:tcPr>
          <w:p w:rsidR="0087650C" w:rsidRDefault="0046719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31.12.2017</w:t>
            </w:r>
          </w:p>
        </w:tc>
      </w:tr>
      <w:tr w:rsidR="0087650C">
        <w:trPr>
          <w:trHeight w:hRule="exact" w:val="592"/>
        </w:trPr>
        <w:tc>
          <w:tcPr>
            <w:tcW w:w="9100" w:type="dxa"/>
            <w:gridSpan w:val="2"/>
          </w:tcPr>
          <w:p w:rsidR="0087650C" w:rsidRDefault="0046719C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000000" w:rsidRDefault="0046719C"/>
    <w:sectPr w:rsidR="00000000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719C">
      <w:r>
        <w:separator/>
      </w:r>
    </w:p>
  </w:endnote>
  <w:endnote w:type="continuationSeparator" w:id="0">
    <w:p w:rsidR="00000000" w:rsidRDefault="0046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50C" w:rsidRDefault="0046719C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376;mso-position-horizontal-relative:page;mso-position-vertical-relative:page" filled="f" stroked="f">
          <v:textbox inset="0,0,0,0">
            <w:txbxContent>
              <w:p w:rsidR="0087650C" w:rsidRDefault="0046719C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352;mso-position-horizontal-relative:page;mso-position-vertical-relative:page" filled="f" stroked="f">
          <v:textbox inset="0,0,0,0">
            <w:txbxContent>
              <w:p w:rsidR="0087650C" w:rsidRDefault="0046719C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328;mso-position-horizontal-relative:page;mso-position-vertical-relative:page" filled="f" stroked="f">
          <v:textbox inset="0,0,0,0">
            <w:txbxContent>
              <w:p w:rsidR="0087650C" w:rsidRDefault="0046719C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19.03.2018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719C">
      <w:r>
        <w:separator/>
      </w:r>
    </w:p>
  </w:footnote>
  <w:footnote w:type="continuationSeparator" w:id="0">
    <w:p w:rsidR="00000000" w:rsidRDefault="00467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50C" w:rsidRDefault="0046719C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3055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CE7"/>
    <w:multiLevelType w:val="hybridMultilevel"/>
    <w:tmpl w:val="6290ACC0"/>
    <w:lvl w:ilvl="0" w:tplc="B21ECD32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73249BDE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177678C2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0F5EF30E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DFF2CA02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32428BFE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0AD8412C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AA4A8CD2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E8BE57B0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7650C"/>
    <w:rsid w:val="0046719C"/>
    <w:rsid w:val="0087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AC98618"/>
  <w15:docId w15:val="{6D80ED8A-832D-4496-BD95-D46E46A1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5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588</Words>
  <Characters>3475</Characters>
  <Application>Microsoft Office Word</Application>
  <DocSecurity>0</DocSecurity>
  <Lines>28</Lines>
  <Paragraphs>8</Paragraphs>
  <ScaleCrop>false</ScaleCrop>
  <Company>SFZP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2020-03-16T10:42:00Z</dcterms:created>
  <dcterms:modified xsi:type="dcterms:W3CDTF">2020-03-16T09:43:00Z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2018-03-19T00:00:00Z</vt:filetime>
  </property>
  <property fmtid="{D5CDD505-2E9C-101B-9397-08002B2CF9AE}" pid="3" name="LastSaved">
    <vt:filetime>2020-03-16T00:00:00Z</vt:filetime>
  </property>
</Properties>
</file>